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 xml:space="preserve">我单位为大兴区正处级全额拨款事业单位，本级设11个科室，分别为党建办公室、行政办公室、法制安全科、财务管理科、绿地管理科、公园管理科、规划建设科、业务协调科、园林科技科、考核巡查一科、考核巡查二科；下属6个全额拨款事业单位，分别为绿化队、北区公园管理所、南区公园管理所、东区公园管理所、念坛公园管理所、清源公园管理所。   </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本中心系统主要职责如下：</w:t>
      </w:r>
    </w:p>
    <w:p>
      <w:pPr>
        <w:tabs>
          <w:tab w:val="center" w:pos="6979"/>
        </w:tabs>
        <w:spacing w:line="580" w:lineRule="exact"/>
        <w:rPr>
          <w:rFonts w:hint="eastAsia" w:ascii="仿宋_GB2312" w:eastAsia="仿宋_GB2312"/>
          <w:kern w:val="0"/>
          <w:sz w:val="28"/>
          <w:szCs w:val="28"/>
        </w:rPr>
      </w:pPr>
      <w:r>
        <w:rPr>
          <w:rFonts w:hint="eastAsia" w:ascii="仿宋_GB2312" w:eastAsia="仿宋_GB2312"/>
          <w:kern w:val="0"/>
          <w:sz w:val="28"/>
          <w:szCs w:val="28"/>
        </w:rPr>
        <w:t>（一）</w:t>
      </w:r>
      <w:r>
        <w:rPr>
          <w:rFonts w:hint="eastAsia" w:ascii="仿宋_GB2312" w:eastAsia="仿宋_GB2312"/>
          <w:kern w:val="0"/>
          <w:sz w:val="28"/>
          <w:szCs w:val="28"/>
          <w:lang w:eastAsia="zh-CN"/>
        </w:rPr>
        <w:t>负责大兴新城规划范围内的公共绿地、公园、城市道路两侧绿化带的设计、建设、养护及日常管理工作。</w:t>
      </w:r>
    </w:p>
    <w:p>
      <w:pPr>
        <w:tabs>
          <w:tab w:val="center" w:pos="6979"/>
        </w:tabs>
        <w:spacing w:line="580" w:lineRule="exact"/>
        <w:rPr>
          <w:rFonts w:hint="eastAsia" w:ascii="仿宋_GB2312" w:eastAsia="仿宋_GB2312"/>
          <w:kern w:val="0"/>
          <w:sz w:val="28"/>
          <w:szCs w:val="28"/>
          <w:lang w:eastAsia="zh-CN"/>
        </w:rPr>
      </w:pPr>
      <w:r>
        <w:rPr>
          <w:rFonts w:hint="eastAsia" w:ascii="仿宋_GB2312" w:eastAsia="仿宋_GB2312"/>
          <w:kern w:val="0"/>
          <w:sz w:val="28"/>
          <w:szCs w:val="28"/>
        </w:rPr>
        <w:t>（二）</w:t>
      </w:r>
      <w:r>
        <w:rPr>
          <w:rFonts w:hint="eastAsia" w:ascii="仿宋_GB2312" w:eastAsia="仿宋_GB2312"/>
          <w:kern w:val="0"/>
          <w:sz w:val="28"/>
          <w:szCs w:val="28"/>
          <w:lang w:eastAsia="zh-CN"/>
        </w:rPr>
        <w:t>负责组织实施管辖范围内园林绿化工程的设计、施工、监理等工程项目的招投标工作。</w:t>
      </w:r>
    </w:p>
    <w:p>
      <w:pPr>
        <w:tabs>
          <w:tab w:val="center" w:pos="6979"/>
        </w:tabs>
        <w:spacing w:line="580" w:lineRule="exact"/>
        <w:rPr>
          <w:rFonts w:hint="eastAsia" w:ascii="仿宋_GB2312" w:eastAsia="仿宋_GB2312"/>
          <w:sz w:val="28"/>
          <w:szCs w:val="28"/>
        </w:rPr>
      </w:pPr>
      <w:r>
        <w:rPr>
          <w:rFonts w:hint="eastAsia" w:ascii="仿宋_GB2312" w:eastAsia="仿宋_GB2312"/>
          <w:kern w:val="0"/>
          <w:sz w:val="28"/>
          <w:szCs w:val="28"/>
        </w:rPr>
        <w:t>（三）</w:t>
      </w:r>
      <w:r>
        <w:rPr>
          <w:rFonts w:hint="eastAsia" w:ascii="仿宋_GB2312" w:eastAsia="仿宋_GB2312"/>
          <w:kern w:val="0"/>
          <w:sz w:val="28"/>
          <w:szCs w:val="28"/>
          <w:lang w:eastAsia="zh-CN"/>
        </w:rPr>
        <w:t>我部门为事业单位，</w:t>
      </w:r>
      <w:r>
        <w:rPr>
          <w:rFonts w:hint="eastAsia" w:ascii="仿宋_GB2312" w:eastAsia="仿宋_GB2312"/>
          <w:kern w:val="0"/>
          <w:sz w:val="28"/>
          <w:szCs w:val="28"/>
        </w:rPr>
        <w:t>无行政事业性收费项目。</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4693.11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8.58</w:t>
      </w:r>
      <w:r>
        <w:rPr>
          <w:rFonts w:hint="eastAsia" w:ascii="仿宋_GB2312" w:eastAsia="仿宋_GB2312"/>
          <w:sz w:val="28"/>
          <w:szCs w:val="28"/>
        </w:rPr>
        <w:t>万元，增长</w:t>
      </w:r>
      <w:r>
        <w:rPr>
          <w:rFonts w:hint="eastAsia" w:ascii="仿宋_GB2312" w:eastAsia="仿宋_GB2312"/>
          <w:sz w:val="28"/>
          <w:szCs w:val="28"/>
          <w:lang w:val="en-US" w:eastAsia="zh-CN"/>
        </w:rPr>
        <w:t>0.18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4693.11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1533.35</w:t>
      </w:r>
      <w:r>
        <w:rPr>
          <w:rFonts w:hint="eastAsia" w:ascii="仿宋_GB2312" w:eastAsia="仿宋_GB2312"/>
          <w:sz w:val="28"/>
          <w:szCs w:val="28"/>
        </w:rPr>
        <w:t>万元，增长</w:t>
      </w:r>
      <w:r>
        <w:rPr>
          <w:rFonts w:hint="eastAsia" w:ascii="仿宋_GB2312" w:eastAsia="仿宋_GB2312"/>
          <w:sz w:val="28"/>
          <w:szCs w:val="28"/>
          <w:lang w:val="en-US" w:eastAsia="zh-CN"/>
        </w:rPr>
        <w:t>48.53</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4691.31</w:t>
      </w:r>
      <w:r>
        <w:rPr>
          <w:rFonts w:hint="eastAsia" w:ascii="仿宋_GB2312" w:eastAsia="仿宋_GB2312"/>
          <w:sz w:val="28"/>
          <w:szCs w:val="28"/>
        </w:rPr>
        <w:t>万元，占收入合计的</w:t>
      </w:r>
      <w:r>
        <w:rPr>
          <w:rFonts w:hint="eastAsia" w:ascii="仿宋_GB2312" w:eastAsia="仿宋_GB2312"/>
          <w:sz w:val="28"/>
          <w:szCs w:val="28"/>
          <w:lang w:eastAsia="zh-CN"/>
        </w:rPr>
        <w:t>99.96%。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2201.56</w:t>
      </w:r>
      <w:r>
        <w:rPr>
          <w:rFonts w:hint="eastAsia" w:ascii="仿宋_GB2312" w:eastAsia="仿宋_GB2312"/>
          <w:sz w:val="28"/>
          <w:szCs w:val="28"/>
        </w:rPr>
        <w:t>万元，占收入合计的</w:t>
      </w:r>
      <w:r>
        <w:rPr>
          <w:rFonts w:hint="eastAsia" w:ascii="仿宋_GB2312" w:eastAsia="仿宋_GB2312"/>
          <w:sz w:val="28"/>
          <w:szCs w:val="28"/>
          <w:lang w:val="en-US" w:eastAsia="zh-CN"/>
        </w:rPr>
        <w:t>46.91</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2489.75</w:t>
      </w:r>
      <w:r>
        <w:rPr>
          <w:rFonts w:hint="eastAsia" w:ascii="仿宋_GB2312" w:eastAsia="仿宋_GB2312"/>
          <w:sz w:val="28"/>
          <w:szCs w:val="28"/>
        </w:rPr>
        <w:t>万元，占收入合计的</w:t>
      </w:r>
      <w:r>
        <w:rPr>
          <w:rFonts w:hint="eastAsia" w:ascii="仿宋_GB2312" w:eastAsia="仿宋_GB2312"/>
          <w:sz w:val="28"/>
          <w:szCs w:val="28"/>
          <w:lang w:val="en-US" w:eastAsia="zh-CN"/>
        </w:rPr>
        <w:t>53.05</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0.04</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ascii="Times New Roman" w:hAnsi="Times New Roman" w:eastAsia="宋体" w:cs="Times New Roman"/>
          <w:kern w:val="2"/>
          <w:sz w:val="21"/>
          <w:szCs w:val="24"/>
          <w:lang w:val="en-US" w:eastAsia="zh-CN" w:bidi="ar-SA"/>
        </w:rPr>
        <w:pict>
          <v:shape id="_x0000_i1025" o:spt="75" type="#_x0000_t75" style="height:183.35pt;width:317.85pt;" fillcolor="#FFFFFF" filled="f" o:preferrelative="t" stroked="f" coordsize="21600,21600">
            <v:path/>
            <v:fill on="f" color2="#FFFFFF" focussize="0,0"/>
            <v:stroke on="f"/>
            <v:imagedata r:id="rId7" gain="65536f" blacklevel="0f" gamma="0" o:title=""/>
            <o:lock v:ext="edit" position="f" selection="f" grouping="f" rotation="f" cropping="f" text="f"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4691.31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6.78</w:t>
      </w:r>
      <w:r>
        <w:rPr>
          <w:rFonts w:hint="eastAsia" w:ascii="仿宋_GB2312" w:eastAsia="仿宋_GB2312"/>
          <w:sz w:val="28"/>
          <w:szCs w:val="28"/>
        </w:rPr>
        <w:t>万元，增长</w:t>
      </w:r>
      <w:r>
        <w:rPr>
          <w:rFonts w:hint="eastAsia" w:ascii="仿宋_GB2312" w:eastAsia="仿宋_GB2312"/>
          <w:sz w:val="28"/>
          <w:szCs w:val="28"/>
          <w:lang w:val="en-US" w:eastAsia="zh-CN"/>
        </w:rPr>
        <w:t>0.14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2016.74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42.99</w:t>
      </w:r>
      <w:r>
        <w:rPr>
          <w:rFonts w:hint="eastAsia" w:ascii="仿宋_GB2312" w:eastAsia="仿宋_GB2312"/>
          <w:sz w:val="28"/>
          <w:szCs w:val="28"/>
          <w:highlight w:val="none"/>
        </w:rPr>
        <w:t>%；项目支出</w:t>
      </w:r>
      <w:r>
        <w:rPr>
          <w:rFonts w:ascii="仿宋_GB2312" w:eastAsia="仿宋_GB2312"/>
          <w:sz w:val="28"/>
          <w:szCs w:val="28"/>
          <w:highlight w:val="none"/>
        </w:rPr>
        <w:t>2674.57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57.01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ascii="Times New Roman" w:hAnsi="Times New Roman" w:eastAsia="宋体" w:cs="Times New Roman"/>
          <w:kern w:val="2"/>
          <w:sz w:val="21"/>
          <w:szCs w:val="24"/>
          <w:lang w:val="en-US" w:eastAsia="zh-CN" w:bidi="ar-SA"/>
        </w:rPr>
        <w:pict>
          <v:shape id="_x0000_i1026" o:spt="75" type="#_x0000_t75" style="height:216pt;width:360pt;" fillcolor="#FFFFFF" filled="f" o:preferrelative="t" stroked="f" coordsize="21600,21600">
            <v:path/>
            <v:fill on="f" color2="#FFFFFF" focussize="0,0"/>
            <v:stroke on="f"/>
            <v:imagedata r:id="rId8" gain="65536f" blacklevel="0f" gamma="0" o:title=""/>
            <o:lock v:ext="edit" position="f" selection="f" grouping="f" rotation="f" cropping="f" text="f" aspectratio="t"/>
            <w10:wrap type="none"/>
            <w10:anchorlock/>
          </v:shape>
        </w:pi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4691.31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6.78</w:t>
      </w:r>
      <w:r>
        <w:rPr>
          <w:rFonts w:hint="eastAsia" w:ascii="仿宋_GB2312" w:eastAsia="仿宋_GB2312"/>
          <w:sz w:val="28"/>
          <w:szCs w:val="28"/>
        </w:rPr>
        <w:t>万元，增长</w:t>
      </w:r>
      <w:r>
        <w:rPr>
          <w:rFonts w:hint="eastAsia" w:ascii="仿宋_GB2312" w:eastAsia="仿宋_GB2312"/>
          <w:sz w:val="28"/>
          <w:szCs w:val="28"/>
          <w:lang w:val="en-US" w:eastAsia="zh-CN"/>
        </w:rPr>
        <w:t>0.14</w:t>
      </w:r>
      <w:r>
        <w:rPr>
          <w:rFonts w:hint="eastAsia" w:ascii="仿宋_GB2312" w:eastAsia="仿宋_GB2312"/>
          <w:sz w:val="28"/>
          <w:szCs w:val="28"/>
        </w:rPr>
        <w:t>%。主要原因：</w:t>
      </w:r>
      <w:r>
        <w:rPr>
          <w:rFonts w:hint="eastAsia" w:ascii="仿宋_GB2312" w:eastAsia="仿宋_GB2312"/>
          <w:sz w:val="28"/>
          <w:szCs w:val="28"/>
          <w:lang w:val="en-US" w:eastAsia="zh-CN"/>
        </w:rPr>
        <w:t>2024年</w:t>
      </w:r>
      <w:r>
        <w:rPr>
          <w:rFonts w:hint="eastAsia" w:ascii="仿宋_GB2312" w:eastAsia="仿宋_GB2312"/>
          <w:sz w:val="28"/>
          <w:szCs w:val="28"/>
          <w:lang w:eastAsia="zh-CN"/>
        </w:rPr>
        <w:t>在职人员保险、公积金等调整基数</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2201.56</w:t>
      </w:r>
      <w:r>
        <w:rPr>
          <w:rFonts w:hint="eastAsia" w:ascii="仿宋_GB2312" w:eastAsia="仿宋_GB2312"/>
          <w:sz w:val="28"/>
          <w:szCs w:val="28"/>
        </w:rPr>
        <w:t>万元，主要用于以下方面（按大类）：</w:t>
      </w:r>
      <w:r>
        <w:rPr>
          <w:rFonts w:hint="eastAsia" w:ascii="仿宋_GB2312" w:eastAsia="仿宋_GB2312"/>
          <w:sz w:val="28"/>
          <w:szCs w:val="28"/>
          <w:lang w:eastAsia="zh-CN"/>
        </w:rPr>
        <w:t>社会保障和就业</w:t>
      </w:r>
      <w:r>
        <w:rPr>
          <w:rFonts w:hint="eastAsia" w:ascii="仿宋_GB2312" w:eastAsia="仿宋_GB2312"/>
          <w:sz w:val="28"/>
          <w:szCs w:val="28"/>
        </w:rPr>
        <w:t>支出</w:t>
      </w:r>
      <w:r>
        <w:rPr>
          <w:rFonts w:hint="eastAsia" w:ascii="仿宋_GB2312" w:eastAsia="仿宋_GB2312"/>
          <w:sz w:val="28"/>
          <w:szCs w:val="28"/>
          <w:lang w:val="en-US" w:eastAsia="zh-CN"/>
        </w:rPr>
        <w:t>282.41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12.83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159.9万元，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7.26</w:t>
      </w:r>
      <w:r>
        <w:rPr>
          <w:rFonts w:hint="eastAsia" w:ascii="仿宋_GB2312" w:eastAsia="仿宋_GB2312"/>
          <w:sz w:val="28"/>
          <w:szCs w:val="28"/>
        </w:rPr>
        <w:t>%；</w:t>
      </w:r>
      <w:r>
        <w:rPr>
          <w:rFonts w:hint="eastAsia" w:ascii="仿宋_GB2312" w:eastAsia="仿宋_GB2312"/>
          <w:sz w:val="28"/>
          <w:szCs w:val="28"/>
          <w:lang w:eastAsia="zh-CN"/>
        </w:rPr>
        <w:t>城乡社区支出</w:t>
      </w:r>
      <w:r>
        <w:rPr>
          <w:rFonts w:hint="eastAsia" w:ascii="仿宋_GB2312" w:eastAsia="仿宋_GB2312"/>
          <w:sz w:val="28"/>
          <w:szCs w:val="28"/>
          <w:lang w:val="en-US" w:eastAsia="zh-CN"/>
        </w:rPr>
        <w:t>1759.25万元，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79.91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1.</w:t>
      </w:r>
      <w:r>
        <w:rPr>
          <w:rFonts w:hint="eastAsia" w:ascii="仿宋_GB2312" w:eastAsia="仿宋_GB2312"/>
          <w:sz w:val="28"/>
          <w:szCs w:val="28"/>
          <w:highlight w:val="none"/>
        </w:rPr>
        <w:t>“</w:t>
      </w:r>
      <w:r>
        <w:rPr>
          <w:rFonts w:hint="eastAsia" w:ascii="仿宋_GB2312" w:eastAsia="仿宋_GB2312"/>
          <w:color w:val="000000"/>
          <w:sz w:val="28"/>
          <w:szCs w:val="28"/>
          <w:highlight w:val="none"/>
          <w:lang w:val="en-US" w:eastAsia="zh-CN"/>
        </w:rPr>
        <w:t>208</w:t>
      </w:r>
      <w:r>
        <w:rPr>
          <w:rFonts w:hint="eastAsia" w:ascii="仿宋_GB2312" w:eastAsia="仿宋_GB2312"/>
          <w:color w:val="000000"/>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highlight w:val="none"/>
          <w:lang w:val="en-US" w:eastAsia="zh-CN"/>
        </w:rPr>
        <w:t>2024年度年初预算254.05万元，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282.41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w:t>
      </w:r>
      <w:r>
        <w:rPr>
          <w:rFonts w:hint="eastAsia" w:ascii="仿宋_GB2312" w:eastAsia="仿宋_GB2312"/>
          <w:sz w:val="28"/>
          <w:szCs w:val="28"/>
          <w:highlight w:val="none"/>
        </w:rPr>
        <w:t>年初预算</w:t>
      </w:r>
      <w:bookmarkStart w:id="0" w:name="OLE_LINK1"/>
      <w:r>
        <w:rPr>
          <w:rFonts w:hint="eastAsia" w:ascii="仿宋_GB2312" w:eastAsia="仿宋_GB2312"/>
          <w:sz w:val="28"/>
          <w:szCs w:val="28"/>
          <w:highlight w:val="none"/>
          <w:lang w:val="en-US" w:eastAsia="zh-CN"/>
        </w:rPr>
        <w:t>111.16</w:t>
      </w:r>
      <w:r>
        <w:rPr>
          <w:rFonts w:hint="eastAsia" w:ascii="仿宋_GB2312" w:eastAsia="仿宋_GB2312"/>
          <w:sz w:val="28"/>
          <w:szCs w:val="28"/>
          <w:highlight w:val="none"/>
        </w:rPr>
        <w:t>%</w:t>
      </w:r>
      <w:bookmarkEnd w:id="0"/>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color w:val="000000"/>
          <w:sz w:val="28"/>
          <w:szCs w:val="28"/>
          <w:highlight w:val="none"/>
          <w:lang w:val="en-US" w:eastAsia="zh-CN"/>
        </w:rPr>
        <w:t>20805</w:t>
      </w:r>
      <w:r>
        <w:rPr>
          <w:rFonts w:hint="eastAsia" w:ascii="仿宋_GB2312" w:eastAsia="仿宋_GB2312"/>
          <w:color w:val="000000"/>
          <w:sz w:val="28"/>
          <w:szCs w:val="28"/>
          <w:highlight w:val="none"/>
          <w:lang w:eastAsia="zh-CN"/>
        </w:rPr>
        <w:t>行政事业单位养老支出</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2024年度年初预算254.05万元，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282.41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111.16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养老保险、职业年金调整基数</w:t>
      </w:r>
      <w:r>
        <w:rPr>
          <w:rFonts w:hint="eastAsia" w:ascii="仿宋_GB2312" w:eastAsia="仿宋_GB2312"/>
          <w:sz w:val="28"/>
          <w:szCs w:val="28"/>
          <w:highlight w:val="none"/>
        </w:rPr>
        <w:t>。</w:t>
      </w:r>
    </w:p>
    <w:p>
      <w:pPr>
        <w:numPr>
          <w:ilvl w:val="0"/>
          <w:numId w:val="1"/>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color w:val="000000"/>
          <w:sz w:val="28"/>
          <w:szCs w:val="28"/>
          <w:highlight w:val="none"/>
          <w:lang w:val="en-US" w:eastAsia="zh-CN"/>
        </w:rPr>
        <w:t>210</w:t>
      </w:r>
      <w:r>
        <w:rPr>
          <w:rFonts w:hint="eastAsia" w:ascii="仿宋_GB2312" w:eastAsia="仿宋_GB2312"/>
          <w:color w:val="000000"/>
          <w:sz w:val="28"/>
          <w:szCs w:val="28"/>
          <w:highlight w:val="none"/>
          <w:lang w:eastAsia="zh-CN"/>
        </w:rPr>
        <w:t>卫生健康支出</w:t>
      </w:r>
      <w:r>
        <w:rPr>
          <w:rFonts w:hint="eastAsia" w:ascii="仿宋_GB2312" w:eastAsia="仿宋_GB2312"/>
          <w:sz w:val="28"/>
          <w:szCs w:val="28"/>
          <w:highlight w:val="none"/>
        </w:rPr>
        <w:t>”(类)</w:t>
      </w:r>
      <w:r>
        <w:rPr>
          <w:rFonts w:hint="eastAsia" w:ascii="仿宋_GB2312" w:eastAsia="仿宋_GB2312"/>
          <w:sz w:val="28"/>
          <w:szCs w:val="28"/>
          <w:highlight w:val="none"/>
          <w:lang w:val="en-US" w:eastAsia="zh-CN"/>
        </w:rPr>
        <w:t>2024年度年初预算151.23万元，</w:t>
      </w:r>
      <w:r>
        <w:rPr>
          <w:rFonts w:hint="eastAsia" w:ascii="仿宋_GB2312" w:eastAsia="仿宋_GB2312"/>
          <w:sz w:val="28"/>
          <w:szCs w:val="28"/>
          <w:highlight w:val="none"/>
        </w:rPr>
        <w:t xml:space="preserve"> 2024年度决算</w:t>
      </w:r>
      <w:r>
        <w:rPr>
          <w:rFonts w:hint="eastAsia" w:ascii="仿宋_GB2312" w:eastAsia="仿宋_GB2312"/>
          <w:sz w:val="28"/>
          <w:szCs w:val="28"/>
          <w:highlight w:val="none"/>
          <w:lang w:val="en-US" w:eastAsia="zh-CN"/>
        </w:rPr>
        <w:t>159.9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105.73</w:t>
      </w:r>
      <w:r>
        <w:rPr>
          <w:rFonts w:hint="eastAsia" w:ascii="仿宋_GB2312" w:eastAsia="仿宋_GB2312"/>
          <w:sz w:val="28"/>
          <w:szCs w:val="28"/>
          <w:highlight w:val="none"/>
        </w:rPr>
        <w:t>%。</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color w:val="000000"/>
          <w:sz w:val="28"/>
          <w:szCs w:val="28"/>
          <w:highlight w:val="none"/>
          <w:lang w:val="en-US" w:eastAsia="zh-CN"/>
        </w:rPr>
        <w:t>21011</w:t>
      </w:r>
      <w:r>
        <w:rPr>
          <w:rFonts w:hint="eastAsia" w:ascii="仿宋_GB2312" w:eastAsia="仿宋_GB2312"/>
          <w:color w:val="000000"/>
          <w:sz w:val="28"/>
          <w:szCs w:val="28"/>
          <w:highlight w:val="none"/>
          <w:lang w:eastAsia="zh-CN"/>
        </w:rPr>
        <w:t>行政事业单位医疗</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2024年度年初预算151.23万元，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159.9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105.73</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医疗保险和医疗补助调整基数</w:t>
      </w:r>
      <w:r>
        <w:rPr>
          <w:rFonts w:hint="eastAsia" w:ascii="仿宋_GB2312" w:eastAsia="仿宋_GB2312"/>
          <w:sz w:val="28"/>
          <w:szCs w:val="28"/>
          <w:highlight w:val="none"/>
        </w:rPr>
        <w:t>。</w:t>
      </w:r>
    </w:p>
    <w:p>
      <w:pPr>
        <w:numPr>
          <w:ilvl w:val="0"/>
          <w:numId w:val="2"/>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212</w:t>
      </w:r>
      <w:r>
        <w:rPr>
          <w:rFonts w:hint="eastAsia" w:ascii="仿宋_GB2312" w:eastAsia="仿宋_GB2312"/>
          <w:color w:val="auto"/>
          <w:sz w:val="28"/>
          <w:szCs w:val="28"/>
          <w:highlight w:val="none"/>
          <w:lang w:eastAsia="zh-CN"/>
        </w:rPr>
        <w:t>城乡社区支出</w:t>
      </w:r>
      <w:r>
        <w:rPr>
          <w:rFonts w:hint="eastAsia" w:ascii="仿宋_GB2312" w:eastAsia="仿宋_GB2312"/>
          <w:color w:val="auto"/>
          <w:sz w:val="28"/>
          <w:szCs w:val="28"/>
          <w:highlight w:val="none"/>
        </w:rPr>
        <w:t>”(类)</w:t>
      </w:r>
      <w:r>
        <w:rPr>
          <w:rFonts w:hint="eastAsia" w:ascii="仿宋_GB2312" w:eastAsia="仿宋_GB2312"/>
          <w:sz w:val="28"/>
          <w:szCs w:val="28"/>
          <w:highlight w:val="none"/>
          <w:lang w:val="en-US" w:eastAsia="zh-CN"/>
        </w:rPr>
        <w:t>2024年度年初预算3535.29万元，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1759.25</w:t>
      </w:r>
      <w:r>
        <w:rPr>
          <w:rFonts w:hint="eastAsia" w:ascii="仿宋_GB2312" w:eastAsia="仿宋_GB2312"/>
          <w:color w:val="auto"/>
          <w:sz w:val="28"/>
          <w:szCs w:val="28"/>
          <w:highlight w:val="none"/>
        </w:rPr>
        <w:t>万元，</w:t>
      </w:r>
      <w:r>
        <w:rPr>
          <w:rFonts w:hint="eastAsia" w:ascii="仿宋_GB2312" w:eastAsia="仿宋_GB2312"/>
          <w:sz w:val="28"/>
          <w:szCs w:val="28"/>
          <w:highlight w:val="none"/>
          <w:lang w:eastAsia="zh-CN"/>
        </w:rPr>
        <w:t>完成</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49.76x</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21203</w:t>
      </w:r>
      <w:r>
        <w:rPr>
          <w:rFonts w:hint="eastAsia" w:ascii="仿宋_GB2312" w:eastAsia="仿宋_GB2312"/>
          <w:color w:val="auto"/>
          <w:sz w:val="28"/>
          <w:szCs w:val="28"/>
          <w:highlight w:val="none"/>
          <w:lang w:eastAsia="zh-CN"/>
        </w:rPr>
        <w:t>城乡社区公共设施</w:t>
      </w:r>
      <w:r>
        <w:rPr>
          <w:rFonts w:hint="eastAsia" w:ascii="仿宋_GB2312" w:eastAsia="仿宋_GB2312"/>
          <w:color w:val="auto"/>
          <w:sz w:val="28"/>
          <w:szCs w:val="28"/>
          <w:highlight w:val="none"/>
        </w:rPr>
        <w:t>”（款）</w:t>
      </w:r>
      <w:r>
        <w:rPr>
          <w:rFonts w:hint="eastAsia" w:ascii="仿宋_GB2312" w:eastAsia="仿宋_GB2312"/>
          <w:sz w:val="28"/>
          <w:szCs w:val="28"/>
          <w:highlight w:val="none"/>
          <w:lang w:val="en-US" w:eastAsia="zh-CN"/>
        </w:rPr>
        <w:t>2024年度年初预算3535.29万元，</w:t>
      </w:r>
      <w:r>
        <w:rPr>
          <w:rFonts w:hint="eastAsia" w:ascii="仿宋_GB2312" w:eastAsia="仿宋_GB2312"/>
          <w:color w:val="auto"/>
          <w:sz w:val="28"/>
          <w:szCs w:val="28"/>
          <w:highlight w:val="none"/>
        </w:rPr>
        <w:t>20</w:t>
      </w:r>
      <w:r>
        <w:rPr>
          <w:rFonts w:hint="eastAsia" w:ascii="仿宋_GB2312" w:eastAsia="仿宋_GB2312"/>
          <w:color w:val="auto"/>
          <w:sz w:val="28"/>
          <w:szCs w:val="28"/>
          <w:highlight w:val="none"/>
          <w:lang w:val="en-US" w:eastAsia="zh-CN"/>
        </w:rPr>
        <w:t>24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1759.25</w:t>
      </w:r>
      <w:r>
        <w:rPr>
          <w:rFonts w:hint="eastAsia" w:ascii="仿宋_GB2312" w:eastAsia="仿宋_GB2312"/>
          <w:color w:val="auto"/>
          <w:sz w:val="28"/>
          <w:szCs w:val="28"/>
          <w:highlight w:val="none"/>
        </w:rPr>
        <w:t>万元，</w:t>
      </w:r>
      <w:r>
        <w:rPr>
          <w:rFonts w:hint="eastAsia" w:ascii="仿宋_GB2312" w:eastAsia="仿宋_GB2312"/>
          <w:sz w:val="28"/>
          <w:szCs w:val="28"/>
          <w:highlight w:val="none"/>
          <w:lang w:eastAsia="zh-CN"/>
        </w:rPr>
        <w:t>完成</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49.76</w:t>
      </w:r>
      <w:r>
        <w:rPr>
          <w:rFonts w:hint="eastAsia" w:ascii="仿宋_GB2312" w:eastAsia="仿宋_GB2312"/>
          <w:sz w:val="28"/>
          <w:szCs w:val="28"/>
          <w:highlight w:val="none"/>
        </w:rPr>
        <w:t>%。</w:t>
      </w:r>
      <w:r>
        <w:rPr>
          <w:rFonts w:hint="eastAsia" w:ascii="仿宋_GB2312" w:eastAsia="仿宋_GB2312"/>
          <w:color w:val="auto"/>
          <w:sz w:val="28"/>
          <w:szCs w:val="28"/>
          <w:highlight w:val="none"/>
        </w:rPr>
        <w:t>主要原因：</w:t>
      </w:r>
      <w:bookmarkStart w:id="1" w:name="OLE_LINK13"/>
      <w:r>
        <w:rPr>
          <w:rFonts w:hint="eastAsia" w:ascii="仿宋_GB2312" w:eastAsia="仿宋_GB2312"/>
          <w:color w:val="auto"/>
          <w:sz w:val="28"/>
          <w:szCs w:val="28"/>
          <w:highlight w:val="none"/>
          <w:lang w:eastAsia="zh-CN"/>
        </w:rPr>
        <w:t>根据工作需要将滨河森林公园土地</w:t>
      </w:r>
      <w:r>
        <w:rPr>
          <w:rFonts w:hint="eastAsia" w:ascii="仿宋_GB2312" w:eastAsia="仿宋_GB2312"/>
          <w:color w:val="auto"/>
          <w:sz w:val="28"/>
          <w:szCs w:val="28"/>
          <w:lang w:eastAsia="zh-CN"/>
        </w:rPr>
        <w:t>租金项目调整为基金类项目</w:t>
      </w:r>
      <w:bookmarkEnd w:id="1"/>
      <w:r>
        <w:rPr>
          <w:rFonts w:hint="eastAsia" w:ascii="仿宋_GB2312" w:eastAsia="仿宋_GB2312"/>
          <w:color w:val="auto"/>
          <w:sz w:val="28"/>
          <w:szCs w:val="28"/>
          <w:lang w:eastAsia="zh-CN"/>
        </w:rPr>
        <w:t>；在职人员工资调整。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2489.75</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2489.75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rPr>
        <w:t>1.“</w:t>
      </w:r>
      <w:r>
        <w:rPr>
          <w:rFonts w:hint="eastAsia" w:ascii="仿宋_GB2312" w:eastAsia="仿宋_GB2312"/>
          <w:sz w:val="28"/>
          <w:szCs w:val="28"/>
          <w:lang w:val="en-US" w:eastAsia="zh-CN"/>
        </w:rPr>
        <w:t>212</w:t>
      </w:r>
      <w:r>
        <w:rPr>
          <w:rFonts w:hint="eastAsia" w:ascii="仿宋_GB2312" w:eastAsia="仿宋_GB2312"/>
          <w:sz w:val="28"/>
          <w:szCs w:val="28"/>
        </w:rPr>
        <w:t>城乡社区支出”（类）</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2489.75</w:t>
      </w:r>
      <w:r>
        <w:rPr>
          <w:rFonts w:hint="eastAsia" w:ascii="仿宋_GB2312" w:eastAsia="仿宋_GB2312"/>
          <w:sz w:val="28"/>
          <w:szCs w:val="28"/>
          <w:highlight w:val="none"/>
        </w:rPr>
        <w:t>万元</w:t>
      </w:r>
      <w:r>
        <w:rPr>
          <w:rFonts w:hint="eastAsia" w:ascii="仿宋_GB2312" w:eastAsia="仿宋_GB2312"/>
          <w:sz w:val="28"/>
          <w:szCs w:val="28"/>
          <w:highlight w:val="none"/>
        </w:rPr>
        <w:t>。</w:t>
      </w:r>
    </w:p>
    <w:p>
      <w:pPr>
        <w:pStyle w:val="4"/>
        <w:ind w:firstLine="840" w:firstLineChars="3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“21208国有土地使用权出让收入安排的支出”</w:t>
      </w:r>
      <w:r>
        <w:rPr>
          <w:rFonts w:hint="eastAsia" w:ascii="仿宋_GB2312" w:eastAsia="仿宋_GB2312"/>
          <w:sz w:val="28"/>
          <w:szCs w:val="28"/>
          <w:highlight w:val="none"/>
        </w:rPr>
        <w:t>（款，下同）</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718.69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年中追加</w:t>
      </w:r>
      <w:r>
        <w:rPr>
          <w:rFonts w:hint="eastAsia" w:ascii="仿宋_GB2312" w:eastAsia="仿宋_GB2312"/>
          <w:sz w:val="28"/>
          <w:szCs w:val="28"/>
          <w:highlight w:val="none"/>
        </w:rPr>
        <w:t>翡翠公园环境改造提升工程</w:t>
      </w:r>
      <w:r>
        <w:rPr>
          <w:rFonts w:hint="eastAsia" w:ascii="仿宋_GB2312" w:eastAsia="仿宋_GB2312"/>
          <w:sz w:val="28"/>
          <w:szCs w:val="28"/>
          <w:highlight w:val="none"/>
          <w:lang w:eastAsia="zh-CN"/>
        </w:rPr>
        <w:t>、大兴新城街心公园环境提升工程、大兴新城道路绿地景观提升工程项目款</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21213</w:t>
      </w:r>
      <w:r>
        <w:rPr>
          <w:rFonts w:hint="eastAsia" w:ascii="仿宋_GB2312" w:eastAsia="仿宋_GB2312"/>
          <w:sz w:val="28"/>
          <w:szCs w:val="28"/>
          <w:highlight w:val="none"/>
        </w:rPr>
        <w:t>城市基础设施配套费安排的支出”（款，下同）</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w:t>
      </w:r>
      <w:r>
        <w:rPr>
          <w:rFonts w:hint="eastAsia" w:ascii="仿宋_GB2312" w:eastAsia="仿宋_GB2312"/>
          <w:sz w:val="28"/>
          <w:szCs w:val="28"/>
        </w:rPr>
        <w:t>度决算</w:t>
      </w:r>
      <w:r>
        <w:rPr>
          <w:rFonts w:hint="eastAsia" w:ascii="仿宋_GB2312" w:eastAsia="仿宋_GB2312"/>
          <w:sz w:val="28"/>
          <w:szCs w:val="28"/>
          <w:lang w:val="en-US" w:eastAsia="zh-CN"/>
        </w:rPr>
        <w:t>1771.06</w:t>
      </w:r>
      <w:r>
        <w:rPr>
          <w:rFonts w:hint="eastAsia" w:ascii="仿宋_GB2312" w:eastAsia="仿宋_GB2312"/>
          <w:sz w:val="28"/>
          <w:szCs w:val="28"/>
        </w:rPr>
        <w:t>万元</w:t>
      </w:r>
      <w:r>
        <w:rPr>
          <w:rFonts w:hint="eastAsia" w:ascii="仿宋_GB2312" w:eastAsia="仿宋_GB2312"/>
          <w:sz w:val="28"/>
          <w:szCs w:val="28"/>
          <w:highlight w:val="none"/>
        </w:rPr>
        <w:t>。</w:t>
      </w:r>
      <w:r>
        <w:rPr>
          <w:rFonts w:hint="eastAsia" w:ascii="仿宋_GB2312" w:eastAsia="仿宋_GB2312"/>
          <w:sz w:val="28"/>
          <w:szCs w:val="28"/>
        </w:rPr>
        <w:t>主要原因：</w:t>
      </w:r>
      <w:r>
        <w:rPr>
          <w:rFonts w:hint="eastAsia" w:ascii="仿宋_GB2312" w:eastAsia="仿宋_GB2312"/>
          <w:color w:val="auto"/>
          <w:sz w:val="28"/>
          <w:szCs w:val="28"/>
          <w:lang w:eastAsia="zh-CN"/>
        </w:rPr>
        <w:t>根据工作需要将一般公共预算中滨河森林公园土地租金项目调整为基金类项目</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numPr>
          <w:ilvl w:val="0"/>
          <w:numId w:val="0"/>
        </w:numPr>
        <w:ind w:firstLine="560" w:firstLineChars="200"/>
        <w:rPr>
          <w:rFonts w:hint="eastAsia" w:ascii="黑体" w:eastAsia="黑体"/>
          <w:b/>
          <w:sz w:val="28"/>
          <w:szCs w:val="28"/>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2016.74</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万元，（1）</w:t>
      </w:r>
      <w:r>
        <w:rPr>
          <w:rFonts w:hint="eastAsia" w:ascii="仿宋_GB2312" w:eastAsia="仿宋_GB2312"/>
          <w:sz w:val="28"/>
          <w:szCs w:val="28"/>
        </w:rPr>
        <w:t>工资福利支出包括基本工资</w:t>
      </w:r>
      <w:r>
        <w:rPr>
          <w:rFonts w:ascii="仿宋_GB2312" w:eastAsia="仿宋_GB2312"/>
          <w:sz w:val="28"/>
          <w:szCs w:val="28"/>
        </w:rPr>
        <w:t>、津贴补贴、绩效工资、</w:t>
      </w:r>
      <w:r>
        <w:rPr>
          <w:rFonts w:hint="eastAsia" w:ascii="仿宋_GB2312" w:eastAsia="仿宋_GB2312"/>
          <w:sz w:val="28"/>
          <w:szCs w:val="28"/>
          <w:lang w:eastAsia="zh-CN"/>
        </w:rPr>
        <w:t>机关事业单位基本养老缴费、职业年金缴费、职工基本医疗保险缴费、公务员医疗补助缴费、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；（2）商品和服务支出包括</w:t>
      </w:r>
      <w:r>
        <w:rPr>
          <w:rFonts w:ascii="仿宋_GB2312" w:eastAsia="仿宋_GB2312"/>
          <w:sz w:val="28"/>
          <w:szCs w:val="28"/>
        </w:rPr>
        <w:t>办公费、邮电费、取暖费、差旅费、</w:t>
      </w:r>
      <w:r>
        <w:rPr>
          <w:rFonts w:hint="eastAsia" w:ascii="仿宋_GB2312" w:eastAsia="仿宋_GB2312"/>
          <w:sz w:val="28"/>
          <w:szCs w:val="28"/>
          <w:lang w:eastAsia="zh-CN"/>
        </w:rPr>
        <w:t>维修（护）费、委托业务费、</w:t>
      </w:r>
      <w:r>
        <w:rPr>
          <w:rFonts w:ascii="仿宋_GB2312" w:eastAsia="仿宋_GB2312"/>
          <w:sz w:val="28"/>
          <w:szCs w:val="28"/>
        </w:rPr>
        <w:t>工会经费、福利费、公务用车运行维护费、其他商品和服务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离休费、退休费、抚恤金、医疗费</w:t>
      </w:r>
      <w:r>
        <w:rPr>
          <w:rFonts w:hint="eastAsia" w:ascii="仿宋_GB2312" w:eastAsia="仿宋_GB2312"/>
          <w:sz w:val="28"/>
          <w:szCs w:val="28"/>
        </w:rPr>
        <w:t>补助</w:t>
      </w:r>
      <w:r>
        <w:rPr>
          <w:rFonts w:ascii="仿宋_GB2312" w:eastAsia="仿宋_GB2312"/>
          <w:sz w:val="28"/>
          <w:szCs w:val="28"/>
        </w:rPr>
        <w:t>、奖励金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专用设备购置。</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2.33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w:t>
      </w:r>
      <w:r>
        <w:rPr>
          <w:rFonts w:hint="eastAsia" w:ascii="仿宋_GB2312" w:eastAsia="仿宋_GB2312"/>
          <w:sz w:val="28"/>
          <w:szCs w:val="28"/>
        </w:rPr>
        <w:t>万元减少</w:t>
      </w:r>
      <w:r>
        <w:rPr>
          <w:rFonts w:hint="eastAsia" w:ascii="仿宋_GB2312" w:eastAsia="仿宋_GB2312"/>
          <w:sz w:val="28"/>
          <w:szCs w:val="28"/>
          <w:lang w:val="en-US" w:eastAsia="zh-CN"/>
        </w:rPr>
        <w:t>1.27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b w:val="0"/>
          <w:bCs w:val="0"/>
          <w:sz w:val="28"/>
          <w:szCs w:val="28"/>
          <w:lang w:eastAsia="zh-CN"/>
        </w:rPr>
        <w:t>我单位无此项支出</w:t>
      </w:r>
      <w:r>
        <w:rPr>
          <w:rFonts w:hint="eastAsia" w:ascii="仿宋_GB2312" w:eastAsia="仿宋_GB2312"/>
          <w:sz w:val="28"/>
          <w:szCs w:val="28"/>
        </w:rPr>
        <w:t>；2024年度因公出国（境）费用</w:t>
      </w:r>
      <w:r>
        <w:rPr>
          <w:rFonts w:hint="eastAsia" w:ascii="仿宋_GB2312" w:eastAsia="仿宋_GB2312"/>
          <w:sz w:val="28"/>
          <w:szCs w:val="28"/>
          <w:lang w:eastAsia="zh-CN"/>
        </w:rPr>
        <w:t>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b w:val="0"/>
          <w:bCs w:val="0"/>
          <w:sz w:val="28"/>
          <w:szCs w:val="28"/>
          <w:lang w:eastAsia="zh-CN"/>
        </w:rPr>
        <w:t>我单位无此项支出</w:t>
      </w:r>
      <w:r>
        <w:rPr>
          <w:rFonts w:hint="eastAsia" w:ascii="仿宋_GB2312" w:eastAsia="仿宋_GB2312"/>
          <w:b w:val="0"/>
          <w:bCs w:val="0"/>
          <w:sz w:val="28"/>
          <w:szCs w:val="28"/>
        </w:rPr>
        <w:t>。2024年度公务接待费</w:t>
      </w:r>
      <w:r>
        <w:rPr>
          <w:rFonts w:hint="eastAsia" w:ascii="仿宋_GB2312" w:eastAsia="仿宋_GB2312"/>
          <w:b w:val="0"/>
          <w:bCs w:val="0"/>
          <w:sz w:val="28"/>
          <w:szCs w:val="28"/>
          <w:lang w:eastAsia="zh-CN"/>
        </w:rPr>
        <w:t>无</w:t>
      </w:r>
      <w:r>
        <w:rPr>
          <w:rFonts w:hint="eastAsia" w:ascii="仿宋_GB2312" w:eastAsia="仿宋_GB2312"/>
          <w:b w:val="0"/>
          <w:bCs w:val="0"/>
          <w:sz w:val="28"/>
          <w:szCs w:val="28"/>
        </w:rPr>
        <w:t>。</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2.33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3.6</w:t>
      </w:r>
      <w:r>
        <w:rPr>
          <w:rFonts w:hint="eastAsia" w:ascii="仿宋_GB2312" w:eastAsia="仿宋_GB2312"/>
          <w:sz w:val="28"/>
          <w:szCs w:val="28"/>
        </w:rPr>
        <w:t>万元减少</w:t>
      </w:r>
      <w:r>
        <w:rPr>
          <w:rFonts w:hint="eastAsia" w:ascii="仿宋_GB2312" w:eastAsia="仿宋_GB2312"/>
          <w:sz w:val="28"/>
          <w:szCs w:val="28"/>
          <w:lang w:val="en-US" w:eastAsia="zh-CN"/>
        </w:rPr>
        <w:t>1.27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b w:val="0"/>
          <w:bCs w:val="0"/>
          <w:sz w:val="28"/>
          <w:szCs w:val="28"/>
          <w:lang w:eastAsia="zh-CN"/>
        </w:rPr>
        <w:t>我单位无此项支出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2.33</w:t>
      </w:r>
      <w:r>
        <w:rPr>
          <w:rFonts w:hint="eastAsia" w:ascii="仿宋_GB2312" w:eastAsia="仿宋_GB2312"/>
          <w:sz w:val="28"/>
          <w:szCs w:val="28"/>
        </w:rPr>
        <w:t>万元，主要原因：</w:t>
      </w:r>
      <w:r>
        <w:rPr>
          <w:rFonts w:hint="eastAsia" w:ascii="仿宋_GB2312" w:eastAsia="仿宋_GB2312"/>
          <w:sz w:val="28"/>
          <w:szCs w:val="28"/>
          <w:lang w:eastAsia="zh-CN"/>
        </w:rPr>
        <w:t>我单位本着绿色出行的理念，减少公车使用频率</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万元，增加（减少）原因：</w:t>
      </w:r>
      <w:r>
        <w:rPr>
          <w:rFonts w:hint="eastAsia" w:ascii="仿宋_GB2312" w:eastAsia="仿宋_GB2312"/>
          <w:sz w:val="28"/>
          <w:szCs w:val="28"/>
          <w:highlight w:val="none"/>
          <w:lang w:eastAsia="zh-CN"/>
        </w:rPr>
        <w:t>我单位不</w:t>
      </w:r>
      <w:r>
        <w:rPr>
          <w:rFonts w:hint="eastAsia" w:ascii="仿宋_GB2312" w:eastAsia="仿宋_GB2312"/>
          <w:sz w:val="28"/>
          <w:szCs w:val="28"/>
          <w:highlight w:val="none"/>
        </w:rPr>
        <w:t>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97.57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1.86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95.71</w:t>
      </w:r>
      <w:r>
        <w:rPr>
          <w:rFonts w:hint="eastAsia" w:ascii="仿宋_GB2312" w:eastAsia="仿宋_GB2312"/>
          <w:sz w:val="28"/>
          <w:szCs w:val="28"/>
        </w:rPr>
        <w:t>万元。授予中小企业合同金额</w:t>
      </w:r>
      <w:r>
        <w:rPr>
          <w:rFonts w:ascii="仿宋_GB2312" w:eastAsia="仿宋_GB2312"/>
          <w:sz w:val="28"/>
          <w:szCs w:val="28"/>
        </w:rPr>
        <w:t>96.87</w:t>
      </w:r>
      <w:r>
        <w:rPr>
          <w:rFonts w:hint="eastAsia" w:ascii="仿宋_GB2312" w:eastAsia="仿宋_GB2312"/>
          <w:sz w:val="28"/>
          <w:szCs w:val="28"/>
        </w:rPr>
        <w:t>万元，占政府采购支出总额的</w:t>
      </w:r>
      <w:r>
        <w:rPr>
          <w:rFonts w:hint="eastAsia" w:ascii="仿宋_GB2312" w:eastAsia="仿宋_GB2312"/>
          <w:sz w:val="28"/>
          <w:szCs w:val="28"/>
          <w:lang w:eastAsia="zh-CN"/>
        </w:rPr>
        <w:t>99.28</w:t>
      </w:r>
      <w:r>
        <w:rPr>
          <w:rFonts w:hint="eastAsia" w:ascii="仿宋_GB2312" w:eastAsia="仿宋_GB2312"/>
          <w:sz w:val="28"/>
          <w:szCs w:val="28"/>
        </w:rPr>
        <w:t>%，其中：授予小微企业合同金额</w:t>
      </w:r>
      <w:r>
        <w:rPr>
          <w:rFonts w:ascii="仿宋_GB2312" w:eastAsia="仿宋_GB2312"/>
          <w:sz w:val="28"/>
          <w:szCs w:val="28"/>
        </w:rPr>
        <w:t>95.39</w:t>
      </w:r>
      <w:r>
        <w:rPr>
          <w:rFonts w:hint="eastAsia" w:ascii="仿宋_GB2312" w:eastAsia="仿宋_GB2312"/>
          <w:sz w:val="28"/>
          <w:szCs w:val="28"/>
        </w:rPr>
        <w:t>万元，占政府采购支出总额的</w:t>
      </w:r>
      <w:r>
        <w:rPr>
          <w:rFonts w:ascii="仿宋_GB2312" w:eastAsia="仿宋_GB2312"/>
          <w:sz w:val="28"/>
          <w:szCs w:val="28"/>
        </w:rPr>
        <w:t>97.77</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12月31日，北京市大兴区园林服务中心（本级）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bookmarkStart w:id="3" w:name="_GoBack"/>
      <w:bookmarkEnd w:id="3"/>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 xml:space="preserve">7.社会保障和就业支出（类）行政事业单位养老支出（款）事业单位离退休（项）：反映事业单位开支的离退休经费。 </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8.社会保障和就业支出（类）行政事业单位养老支出（款）机关事业单位基本养老保险缴费支出（项）：反映机关事业单位实施养老保险制度由单位缴纳的基本养老保险费支出。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9.社会保障和就业支出（类）行政事业单位养老支出（款）机关事业单位职业年金缴费支出（项）：反映机关事业单位实施养老保险制度由单位实际缴纳的职业年金支出。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10.卫生健康支出（类）行政事业单位医疗（款）公务员医疗补助（项）：反映财政部门安排的公务员医疗补助经费。</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11.卫生健康支出（类）行政事业单位医疗（款）事业单位医疗（项）：反映事业单位基本医疗保险缴费经费，未参加医疗保险的事业单位的公费医疗经费，按国家规定享受离休人员待遇的医疗经费。</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12.城乡社区支出(类) 国有土地使用权出让收入安排的支出（款）城市建设支出（项）：反映土地出让收入用于完善国有土地使用功能的配套设施建设和城市基础设施建设支出。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13.</w:t>
      </w:r>
      <w:bookmarkStart w:id="2" w:name="OLE_LINK16"/>
      <w:r>
        <w:rPr>
          <w:rFonts w:hint="eastAsia" w:ascii="仿宋_GB2312" w:eastAsia="仿宋_GB2312"/>
          <w:b w:val="0"/>
          <w:kern w:val="2"/>
          <w:sz w:val="28"/>
          <w:szCs w:val="28"/>
          <w:lang w:val="en-US" w:eastAsia="zh-CN" w:bidi="ar-SA"/>
        </w:rPr>
        <w:t>城乡社区支出（类）城乡社区公共设施（款）其他城乡社区公共设施支出（项）</w:t>
      </w:r>
      <w:bookmarkEnd w:id="2"/>
      <w:r>
        <w:rPr>
          <w:rFonts w:hint="eastAsia" w:ascii="仿宋_GB2312" w:eastAsia="仿宋_GB2312"/>
          <w:b w:val="0"/>
          <w:kern w:val="2"/>
          <w:sz w:val="28"/>
          <w:szCs w:val="28"/>
          <w:lang w:val="en-US" w:eastAsia="zh-CN" w:bidi="ar-SA"/>
        </w:rPr>
        <w:t>：反映除小城镇路、气、水、电等基础建设方面以外的的其他用于城乡社区公共设施方面的支出。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_GB2312" w:eastAsia="仿宋_GB2312"/>
          <w:b w:val="0"/>
          <w:kern w:val="2"/>
          <w:sz w:val="28"/>
          <w:szCs w:val="28"/>
          <w:lang w:val="en-US" w:eastAsia="zh-CN" w:bidi="ar-SA"/>
        </w:rPr>
      </w:pPr>
      <w:r>
        <w:rPr>
          <w:rFonts w:hint="eastAsia" w:ascii="仿宋_GB2312" w:eastAsia="仿宋_GB2312"/>
          <w:b w:val="0"/>
          <w:kern w:val="2"/>
          <w:sz w:val="28"/>
          <w:szCs w:val="28"/>
          <w:lang w:val="en-US" w:eastAsia="zh-CN" w:bidi="ar-SA"/>
        </w:rPr>
        <w:t>14、城乡社区支出（类）城市基础设施配套费安排的支出（款）城市环境卫生（项）：反映城市基础设施配套费安排用于道路清扫、垃圾清运与处理、污水处理、园林绿化等方面的支出。</w:t>
      </w:r>
    </w:p>
    <w:p>
      <w:pPr>
        <w:jc w:val="both"/>
        <w:rPr>
          <w:rFonts w:hint="eastAsia" w:ascii="黑体" w:eastAsia="黑体"/>
          <w:sz w:val="32"/>
          <w:szCs w:val="32"/>
        </w:rPr>
      </w:pPr>
    </w:p>
    <w:p>
      <w:pPr>
        <w:numPr>
          <w:ilvl w:val="0"/>
          <w:numId w:val="3"/>
        </w:numPr>
        <w:spacing w:line="480" w:lineRule="exact"/>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2024年度部门绩效评价情况</w:t>
      </w:r>
    </w:p>
    <w:p>
      <w:pPr>
        <w:numPr>
          <w:ilvl w:val="0"/>
          <w:numId w:val="0"/>
        </w:numPr>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项目支出绩效自评表（详见附件）</w:t>
      </w:r>
    </w:p>
    <w:p>
      <w:pPr>
        <w:pStyle w:val="4"/>
        <w:numPr>
          <w:ilvl w:val="0"/>
          <w:numId w:val="0"/>
        </w:numPr>
        <w:rPr>
          <w:rFonts w:hint="eastAsia" w:ascii="仿宋_GB2312" w:hAnsi="Times New Roman" w:eastAsia="仿宋_GB2312" w:cs="Times New Roman"/>
          <w:b w:val="0"/>
          <w:kern w:val="2"/>
          <w:sz w:val="28"/>
          <w:szCs w:val="28"/>
          <w:lang w:val="en-US" w:eastAsia="zh-CN" w:bidi="ar-S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7979B4"/>
    <w:multiLevelType w:val="singleLevel"/>
    <w:tmpl w:val="887979B4"/>
    <w:lvl w:ilvl="0" w:tentative="0">
      <w:start w:val="4"/>
      <w:numFmt w:val="chineseCounting"/>
      <w:suff w:val="space"/>
      <w:lvlText w:val="第%1部分"/>
      <w:lvlJc w:val="left"/>
      <w:rPr>
        <w:rFonts w:hint="eastAsia"/>
      </w:rPr>
    </w:lvl>
  </w:abstractNum>
  <w:abstractNum w:abstractNumId="1">
    <w:nsid w:val="9072600C"/>
    <w:multiLevelType w:val="singleLevel"/>
    <w:tmpl w:val="9072600C"/>
    <w:lvl w:ilvl="0" w:tentative="0">
      <w:start w:val="3"/>
      <w:numFmt w:val="decimal"/>
      <w:suff w:val="nothing"/>
      <w:lvlText w:val="%1、"/>
      <w:lvlJc w:val="left"/>
    </w:lvl>
  </w:abstractNum>
  <w:abstractNum w:abstractNumId="2">
    <w:nsid w:val="1E6BA076"/>
    <w:multiLevelType w:val="singleLevel"/>
    <w:tmpl w:val="1E6BA076"/>
    <w:lvl w:ilvl="0" w:tentative="0">
      <w:start w:val="2"/>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420875"/>
    <w:rsid w:val="04C3537C"/>
    <w:rsid w:val="079004AC"/>
    <w:rsid w:val="082304FA"/>
    <w:rsid w:val="0BA148CA"/>
    <w:rsid w:val="0C1165C4"/>
    <w:rsid w:val="0C4E08FC"/>
    <w:rsid w:val="0D394813"/>
    <w:rsid w:val="0D6D544B"/>
    <w:rsid w:val="0DD136FE"/>
    <w:rsid w:val="0F542F2C"/>
    <w:rsid w:val="0F8E2C57"/>
    <w:rsid w:val="1059665E"/>
    <w:rsid w:val="10AC13BA"/>
    <w:rsid w:val="132204D8"/>
    <w:rsid w:val="145A6C1B"/>
    <w:rsid w:val="14B73493"/>
    <w:rsid w:val="167A2FF9"/>
    <w:rsid w:val="174A0492"/>
    <w:rsid w:val="1764587C"/>
    <w:rsid w:val="17842CDB"/>
    <w:rsid w:val="17BA0D8E"/>
    <w:rsid w:val="18581C69"/>
    <w:rsid w:val="19FF2806"/>
    <w:rsid w:val="1AEC0734"/>
    <w:rsid w:val="1DEF20B0"/>
    <w:rsid w:val="1FF7AB17"/>
    <w:rsid w:val="214243FA"/>
    <w:rsid w:val="21432077"/>
    <w:rsid w:val="21657C47"/>
    <w:rsid w:val="21AD613C"/>
    <w:rsid w:val="22295479"/>
    <w:rsid w:val="22467189"/>
    <w:rsid w:val="257A14F5"/>
    <w:rsid w:val="264332D2"/>
    <w:rsid w:val="27196C26"/>
    <w:rsid w:val="29EF086F"/>
    <w:rsid w:val="2BA13FB5"/>
    <w:rsid w:val="2BC34C59"/>
    <w:rsid w:val="2C46261D"/>
    <w:rsid w:val="2EF1370A"/>
    <w:rsid w:val="2EFFE297"/>
    <w:rsid w:val="301437CA"/>
    <w:rsid w:val="302613D1"/>
    <w:rsid w:val="30362697"/>
    <w:rsid w:val="308A7995"/>
    <w:rsid w:val="3124573D"/>
    <w:rsid w:val="31D67C4B"/>
    <w:rsid w:val="349D1F0A"/>
    <w:rsid w:val="34DD0473"/>
    <w:rsid w:val="3568540E"/>
    <w:rsid w:val="3775221C"/>
    <w:rsid w:val="3A8E35DC"/>
    <w:rsid w:val="3C684897"/>
    <w:rsid w:val="433E495C"/>
    <w:rsid w:val="489F2FD7"/>
    <w:rsid w:val="4AC27CB3"/>
    <w:rsid w:val="4BF72BEF"/>
    <w:rsid w:val="4C6B3DBE"/>
    <w:rsid w:val="4D834DC7"/>
    <w:rsid w:val="4E1C18D7"/>
    <w:rsid w:val="4FA90297"/>
    <w:rsid w:val="4FC41A43"/>
    <w:rsid w:val="51DB3C59"/>
    <w:rsid w:val="550C0952"/>
    <w:rsid w:val="55762E42"/>
    <w:rsid w:val="56D74C92"/>
    <w:rsid w:val="577D19D5"/>
    <w:rsid w:val="57A7B272"/>
    <w:rsid w:val="58470068"/>
    <w:rsid w:val="58747CAC"/>
    <w:rsid w:val="5A1720F9"/>
    <w:rsid w:val="5B9C37C2"/>
    <w:rsid w:val="5BA7C654"/>
    <w:rsid w:val="5DF716AE"/>
    <w:rsid w:val="5F9F507E"/>
    <w:rsid w:val="60A54109"/>
    <w:rsid w:val="61D01CDF"/>
    <w:rsid w:val="63E2152F"/>
    <w:rsid w:val="64C0607C"/>
    <w:rsid w:val="65670EFA"/>
    <w:rsid w:val="65756C86"/>
    <w:rsid w:val="674D385B"/>
    <w:rsid w:val="676F09E1"/>
    <w:rsid w:val="6AE702C2"/>
    <w:rsid w:val="701E61A6"/>
    <w:rsid w:val="71691990"/>
    <w:rsid w:val="7170108D"/>
    <w:rsid w:val="71793A80"/>
    <w:rsid w:val="7357290B"/>
    <w:rsid w:val="753141B5"/>
    <w:rsid w:val="756E3DEA"/>
    <w:rsid w:val="76895C94"/>
    <w:rsid w:val="76FB1693"/>
    <w:rsid w:val="798524E4"/>
    <w:rsid w:val="7A7F1C49"/>
    <w:rsid w:val="7B5B7AE6"/>
    <w:rsid w:val="7B7B6628"/>
    <w:rsid w:val="7BA7071E"/>
    <w:rsid w:val="7BDF6DA8"/>
    <w:rsid w:val="7C7EDC1A"/>
    <w:rsid w:val="7CCED98D"/>
    <w:rsid w:val="7D08410F"/>
    <w:rsid w:val="7D994631"/>
    <w:rsid w:val="7DB96DED"/>
    <w:rsid w:val="7DD3AD81"/>
    <w:rsid w:val="7DFFF77E"/>
    <w:rsid w:val="7E687CAB"/>
    <w:rsid w:val="7EC04D5C"/>
    <w:rsid w:val="7F53A862"/>
    <w:rsid w:val="7F7FE70F"/>
    <w:rsid w:val="7FDF365A"/>
    <w:rsid w:val="7FEC8BC6"/>
    <w:rsid w:val="7FF355FA"/>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paragraph" w:customStyle="1" w:styleId="15">
    <w:name w:val="Char Char Char Char Char Char Char"/>
    <w:basedOn w:val="1"/>
    <w:qFormat/>
    <w:uiPriority w:val="0"/>
    <w:rPr>
      <w:rFonts w:ascii="Tahoma" w:hAnsi="Tahoma"/>
      <w:sz w:val="24"/>
      <w:szCs w:val="20"/>
    </w:rPr>
  </w:style>
  <w:style w:type="paragraph" w:customStyle="1" w:styleId="16">
    <w:name w:val="Char1 Char Char Char"/>
    <w:basedOn w:val="1"/>
    <w:qFormat/>
    <w:uiPriority w:val="0"/>
    <w:pPr>
      <w:widowControl/>
      <w:spacing w:after="160" w:line="240" w:lineRule="exact"/>
      <w:jc w:val="left"/>
    </w:pPr>
    <w:rPr>
      <w:szCs w:val="20"/>
    </w:rPr>
  </w:style>
  <w:style w:type="paragraph" w:customStyle="1" w:styleId="17">
    <w:name w:val="Char"/>
    <w:basedOn w:val="1"/>
    <w:qFormat/>
    <w:uiPriority w:val="0"/>
    <w:rPr>
      <w:rFonts w:ascii="Tahoma" w:hAnsi="Tahoma"/>
      <w:sz w:val="24"/>
      <w:szCs w:val="20"/>
    </w:rPr>
  </w:style>
  <w:style w:type="paragraph" w:customStyle="1" w:styleId="18">
    <w:name w:val="Char Char3 Char Char"/>
    <w:basedOn w:val="1"/>
    <w:qFormat/>
    <w:uiPriority w:val="0"/>
    <w:rPr>
      <w:szCs w:val="21"/>
    </w:rPr>
  </w:style>
  <w:style w:type="character" w:customStyle="1" w:styleId="19">
    <w:name w:val="页脚 Char"/>
    <w:link w:val="8"/>
    <w:qFormat/>
    <w:uiPriority w:val="0"/>
    <w:rPr>
      <w:rFonts w:eastAsia="宋体"/>
      <w:kern w:val="2"/>
      <w:sz w:val="18"/>
      <w:szCs w:val="18"/>
      <w:lang w:val="en-US" w:eastAsia="zh-CN" w:bidi="ar-SA"/>
    </w:rPr>
  </w:style>
  <w:style w:type="character" w:customStyle="1" w:styleId="20">
    <w:name w:val="页眉 Char"/>
    <w:link w:val="9"/>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7</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cp:lastModifiedBy>
  <cp:lastPrinted>2020-08-09T03:39:00Z</cp:lastPrinted>
  <dcterms:modified xsi:type="dcterms:W3CDTF">2025-09-24T01:49:04Z</dcterms:modified>
  <dc:title>北京市财政局关于做好向市人大常委会报送2015年度市级部门决算（草案）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